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ascii="宋体" w:hAnsi="宋体" w:eastAsia="宋体" w:cs="宋体"/>
          <w:kern w:val="0"/>
          <w:szCs w:val="21"/>
        </w:rPr>
      </w:pPr>
      <w:r>
        <w:rPr>
          <w:rFonts w:hint="eastAsia" w:ascii="宋体" w:hAnsi="宋体" w:eastAsia="宋体" w:cs="宋体"/>
          <w:b/>
          <w:bCs/>
          <w:kern w:val="0"/>
          <w:sz w:val="36"/>
        </w:rPr>
        <w:t xml:space="preserve"> “2016年山东省研究生教育优质课程建设项目”</w:t>
      </w:r>
    </w:p>
    <w:tbl>
      <w:tblPr>
        <w:tblStyle w:val="7"/>
        <w:tblW w:w="8300" w:type="dxa"/>
        <w:jc w:val="center"/>
        <w:tblInd w:w="-148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085"/>
        <w:gridCol w:w="1119"/>
        <w:gridCol w:w="878"/>
        <w:gridCol w:w="1730"/>
        <w:gridCol w:w="19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ascii="宋体" w:hAnsi="宋体" w:eastAsia="宋体" w:cs="宋体"/>
                <w:kern w:val="0"/>
                <w:szCs w:val="21"/>
              </w:rPr>
              <w:t>序号</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课程名称</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负责人</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授课对象</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课程类型</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所属学科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储层地质学及油藏描述</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林承焰</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地质资源与地质工程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现代机械制造技术</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刘永红</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机械工程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基础外语（读写）</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郭月琴</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公共学位课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英语语言文学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管理研究方法</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郑海东</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管理科学与工程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石油工程岩石力学</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程远方</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油气井工程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胶体与界面化学</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张志庆</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层序地层学</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操应长</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专业学位课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地质学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4"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8</w:t>
            </w:r>
          </w:p>
        </w:tc>
        <w:tc>
          <w:tcPr>
            <w:tcW w:w="2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自然辩证法概论</w:t>
            </w:r>
          </w:p>
        </w:tc>
        <w:tc>
          <w:tcPr>
            <w:tcW w:w="111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叶立国</w:t>
            </w:r>
          </w:p>
        </w:tc>
        <w:tc>
          <w:tcPr>
            <w:tcW w:w="8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硕士</w:t>
            </w:r>
          </w:p>
        </w:tc>
        <w:tc>
          <w:tcPr>
            <w:tcW w:w="17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公共选修课</w:t>
            </w:r>
          </w:p>
        </w:tc>
        <w:tc>
          <w:tcPr>
            <w:tcW w:w="19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eastAsia="宋体" w:cs="宋体"/>
                <w:color w:val="000000"/>
                <w:szCs w:val="21"/>
              </w:rPr>
            </w:pPr>
            <w:r>
              <w:rPr>
                <w:rFonts w:hint="eastAsia" w:ascii="宋体" w:hAnsi="宋体" w:eastAsia="宋体"/>
                <w:color w:val="000000"/>
                <w:szCs w:val="21"/>
              </w:rPr>
              <w:t>哲学</w:t>
            </w:r>
          </w:p>
        </w:tc>
      </w:tr>
    </w:tbl>
    <w:p>
      <w:pPr>
        <w:widowControl/>
        <w:spacing w:line="390" w:lineRule="atLeast"/>
        <w:jc w:val="center"/>
        <w:rPr>
          <w:rFonts w:hint="eastAsia" w:ascii="宋体" w:hAnsi="宋体" w:eastAsia="宋体" w:cs="宋体"/>
          <w:b/>
          <w:bCs/>
          <w:kern w:val="0"/>
          <w:sz w:val="36"/>
        </w:rPr>
      </w:pPr>
      <w:r>
        <w:rPr>
          <w:rFonts w:hint="eastAsia" w:ascii="宋体" w:hAnsi="宋体" w:eastAsia="宋体" w:cs="宋体"/>
          <w:b/>
          <w:bCs/>
          <w:kern w:val="0"/>
          <w:sz w:val="36"/>
        </w:rPr>
        <w:t>“2016年山东省研究生教育联合培养基地建设项目”</w:t>
      </w:r>
    </w:p>
    <w:tbl>
      <w:tblPr>
        <w:tblStyle w:val="7"/>
        <w:tblW w:w="8497" w:type="dxa"/>
        <w:jc w:val="center"/>
        <w:tblInd w:w="130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153"/>
        <w:gridCol w:w="1920"/>
        <w:gridCol w:w="24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09"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宋体" w:hAnsi="Times New Roman" w:eastAsia="方正宋三_GBK" w:cs="宋体"/>
                <w:b/>
                <w:kern w:val="0"/>
                <w:sz w:val="24"/>
                <w:szCs w:val="32"/>
              </w:rPr>
            </w:pPr>
            <w:r>
              <w:rPr>
                <w:rFonts w:hint="eastAsia" w:ascii="宋体" w:hAnsi="宋体" w:eastAsia="宋体" w:cs="宋体"/>
                <w:kern w:val="0"/>
                <w:szCs w:val="21"/>
              </w:rPr>
              <w:t>  </w:t>
            </w:r>
            <w:r>
              <w:rPr>
                <w:rFonts w:hint="eastAsia" w:ascii="宋体" w:hAnsi="宋体" w:eastAsia="方正宋三_GBK" w:cs="宋体"/>
                <w:b/>
                <w:kern w:val="0"/>
                <w:sz w:val="24"/>
                <w:szCs w:val="32"/>
              </w:rPr>
              <w:t>序号</w:t>
            </w: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hAnsi="Times New Roman" w:eastAsia="方正宋三_GBK" w:cs="宋体"/>
                <w:b/>
                <w:kern w:val="0"/>
                <w:sz w:val="24"/>
                <w:szCs w:val="32"/>
              </w:rPr>
            </w:pPr>
            <w:r>
              <w:rPr>
                <w:rFonts w:hint="eastAsia" w:ascii="宋体" w:hAnsi="宋体" w:eastAsia="方正宋三_GBK" w:cs="宋体"/>
                <w:b/>
                <w:kern w:val="0"/>
                <w:sz w:val="24"/>
                <w:szCs w:val="32"/>
              </w:rPr>
              <w:t>基地名称</w:t>
            </w:r>
          </w:p>
        </w:tc>
        <w:tc>
          <w:tcPr>
            <w:tcW w:w="1153"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hAnsi="Times New Roman" w:eastAsia="方正宋三_GBK" w:cs="宋体"/>
                <w:b/>
                <w:kern w:val="0"/>
                <w:sz w:val="24"/>
                <w:szCs w:val="32"/>
              </w:rPr>
            </w:pPr>
            <w:r>
              <w:rPr>
                <w:rFonts w:hint="eastAsia" w:ascii="宋体" w:hAnsi="Times New Roman" w:eastAsia="方正宋三_GBK" w:cs="宋体"/>
                <w:b/>
                <w:kern w:val="0"/>
                <w:sz w:val="24"/>
                <w:szCs w:val="32"/>
              </w:rPr>
              <w:t>培养单位</w:t>
            </w:r>
          </w:p>
        </w:tc>
        <w:tc>
          <w:tcPr>
            <w:tcW w:w="1920"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hAnsi="Times New Roman" w:eastAsia="方正宋三_GBK" w:cs="宋体"/>
                <w:b/>
                <w:kern w:val="0"/>
                <w:sz w:val="24"/>
                <w:szCs w:val="32"/>
              </w:rPr>
            </w:pPr>
            <w:r>
              <w:rPr>
                <w:rFonts w:hint="eastAsia" w:ascii="宋体" w:hAnsi="Times New Roman" w:eastAsia="方正宋三_GBK" w:cs="宋体"/>
                <w:b/>
                <w:kern w:val="0"/>
                <w:sz w:val="24"/>
                <w:szCs w:val="32"/>
              </w:rPr>
              <w:t>合作单位</w:t>
            </w:r>
          </w:p>
        </w:tc>
        <w:tc>
          <w:tcPr>
            <w:tcW w:w="244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hAnsi="Times New Roman" w:eastAsia="方正宋三_GBK" w:cs="宋体"/>
                <w:b/>
                <w:kern w:val="0"/>
                <w:sz w:val="24"/>
                <w:szCs w:val="32"/>
              </w:rPr>
            </w:pPr>
            <w:r>
              <w:rPr>
                <w:rFonts w:hint="eastAsia" w:ascii="宋体" w:hAnsi="Times New Roman" w:eastAsia="方正宋三_GBK" w:cs="宋体"/>
                <w:b/>
                <w:kern w:val="0"/>
                <w:sz w:val="24"/>
                <w:szCs w:val="32"/>
              </w:rPr>
              <w:t>面向学科（类别）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asciiTheme="majorEastAsia" w:hAnsiTheme="majorEastAsia" w:eastAsiaTheme="majorEastAsia"/>
                <w:szCs w:val="21"/>
              </w:rPr>
            </w:pPr>
            <w:r>
              <w:rPr>
                <w:rFonts w:hint="eastAsia" w:cs="宋体" w:asciiTheme="majorEastAsia" w:hAnsiTheme="majorEastAsia" w:eastAsiaTheme="majorEastAsia"/>
                <w:spacing w:val="23"/>
                <w:w w:val="99"/>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复杂油气探测研究生联合培养基地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中国石化胜利石油工程公司测井公司</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1、地球探测与信息技术2、测试计量技术与仪器3、地质工程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09" w:type="dxa"/>
            <w:tcBorders>
              <w:top w:val="single" w:color="auto" w:sz="4" w:space="0"/>
              <w:left w:val="single" w:color="auto" w:sz="8" w:space="0"/>
              <w:bottom w:val="single" w:color="auto" w:sz="8" w:space="0"/>
              <w:right w:val="single" w:color="auto" w:sz="4" w:space="0"/>
            </w:tcBorders>
            <w:vAlign w:val="center"/>
          </w:tcPr>
          <w:p>
            <w:pPr>
              <w:jc w:val="center"/>
              <w:rPr>
                <w:rFonts w:cs="宋体" w:asciiTheme="majorEastAsia" w:hAnsiTheme="majorEastAsia" w:eastAsiaTheme="majorEastAsia"/>
                <w:spacing w:val="23"/>
                <w:w w:val="99"/>
                <w:szCs w:val="21"/>
              </w:rPr>
            </w:pPr>
            <w:r>
              <w:rPr>
                <w:rFonts w:hint="eastAsia" w:cs="宋体" w:asciiTheme="majorEastAsia" w:hAnsiTheme="majorEastAsia" w:eastAsiaTheme="majorEastAsia"/>
                <w:spacing w:val="23"/>
                <w:w w:val="99"/>
                <w:szCs w:val="21"/>
              </w:rPr>
              <w:t>2</w:t>
            </w:r>
          </w:p>
        </w:tc>
        <w:tc>
          <w:tcPr>
            <w:tcW w:w="2268" w:type="dxa"/>
            <w:tcBorders>
              <w:top w:val="single" w:color="auto" w:sz="4" w:space="0"/>
              <w:left w:val="single" w:color="auto" w:sz="4" w:space="0"/>
              <w:bottom w:val="single" w:color="auto" w:sz="8"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中国石油大学（华东）-胜利油田勘探开发研究院研究生联合培养基地</w:t>
            </w:r>
          </w:p>
        </w:tc>
        <w:tc>
          <w:tcPr>
            <w:tcW w:w="1153" w:type="dxa"/>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胜利油田勘探开发研究院</w:t>
            </w:r>
          </w:p>
        </w:tc>
        <w:tc>
          <w:tcPr>
            <w:tcW w:w="2447" w:type="dxa"/>
            <w:tcBorders>
              <w:top w:val="single" w:color="auto" w:sz="4" w:space="0"/>
              <w:left w:val="single" w:color="auto" w:sz="4" w:space="0"/>
              <w:bottom w:val="single" w:color="auto" w:sz="8" w:space="0"/>
              <w:right w:val="single" w:color="auto" w:sz="4" w:space="0"/>
            </w:tcBorders>
            <w:vAlign w:val="center"/>
          </w:tcPr>
          <w:p>
            <w:pPr>
              <w:jc w:val="center"/>
              <w:rPr>
                <w:color w:val="000000"/>
                <w:szCs w:val="21"/>
              </w:rPr>
            </w:pPr>
            <w:r>
              <w:rPr>
                <w:rFonts w:hint="eastAsia"/>
                <w:color w:val="000000"/>
                <w:szCs w:val="21"/>
              </w:rPr>
              <w:t>地质资源与地质工程</w:t>
            </w:r>
          </w:p>
          <w:p>
            <w:pPr>
              <w:jc w:val="center"/>
              <w:rPr>
                <w:rFonts w:ascii="宋体" w:hAnsi="宋体" w:eastAsia="宋体" w:cs="宋体"/>
                <w:color w:val="000000"/>
                <w:szCs w:val="21"/>
              </w:rPr>
            </w:pPr>
            <w:r>
              <w:rPr>
                <w:rFonts w:hint="eastAsia"/>
                <w:color w:val="000000"/>
                <w:szCs w:val="21"/>
              </w:rPr>
              <w:t>石油与天然气工程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中国石油大学（华东）-</w:t>
            </w:r>
            <w:r>
              <w:rPr>
                <w:rFonts w:hint="eastAsia" w:cs="Times New Roman" w:asciiTheme="majorEastAsia" w:hAnsiTheme="majorEastAsia" w:eastAsiaTheme="majorEastAsia"/>
                <w:szCs w:val="21"/>
              </w:rPr>
              <w:t>山东京博化工专业研究生联合培养基地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山东京博控股股份公司</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化学工程与技术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中国石油大学（华东）-胜利钻井院研究生联合培养基地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中石化胜利石油工程有限公司钻井工艺研究院</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石油与天然气工程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中国石油大学（华东）-青岛勘探测绘研究院研究生联合培养基地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青岛市勘察测绘研究院</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测绘科学与技术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船舶与海洋工程研究生联合培养基地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中国石油集团海洋工程（青岛）有限公司</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船舶与海洋工程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cs="宋体" w:asciiTheme="majorEastAsia" w:hAnsiTheme="majorEastAsia" w:eastAsiaTheme="majorEastAsia"/>
                <w:kern w:val="0"/>
                <w:szCs w:val="21"/>
              </w:rPr>
              <w:t>中国石油大学（华东）-华盛顿与杰弗逊学院研究生联合培养基地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Washington &amp; Jefferson College</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Cs w:val="21"/>
              </w:rPr>
              <w:t>经济类、公共管理类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asciiTheme="majorEastAsia" w:hAnsiTheme="majorEastAsia" w:eastAsiaTheme="majorEastAsia"/>
                <w:szCs w:val="21"/>
              </w:rPr>
            </w:pPr>
            <w:r>
              <w:rPr>
                <w:rFonts w:ascii="宋体" w:hAnsi="宋体" w:eastAsia="宋体" w:cs="宋体"/>
                <w:kern w:val="0"/>
                <w:szCs w:val="21"/>
              </w:rPr>
              <w:t>中国石油大学（华东）-青岛鼎信通讯股份有限公司研究生联合培养基地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ascii="宋体" w:hAnsi="宋体" w:eastAsia="宋体" w:cs="宋体"/>
                <w:kern w:val="0"/>
                <w:szCs w:val="21"/>
              </w:rPr>
              <w:t>青岛鼎信通讯股份有限公司</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通信工程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709" w:type="dxa"/>
            <w:tcBorders>
              <w:top w:val="single" w:color="auto" w:sz="4" w:space="0"/>
              <w:left w:val="single" w:color="auto" w:sz="8" w:space="0"/>
              <w:bottom w:val="single" w:color="auto" w:sz="4" w:space="0"/>
              <w:right w:val="single" w:color="auto" w:sz="4" w:space="0"/>
            </w:tcBorders>
            <w:vAlign w:val="center"/>
          </w:tcPr>
          <w:p>
            <w:pPr>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9</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r>
              <w:rPr>
                <w:rFonts w:ascii="宋体" w:hAnsi="宋体" w:eastAsia="宋体" w:cs="宋体"/>
                <w:kern w:val="0"/>
                <w:szCs w:val="21"/>
              </w:rPr>
              <w:t>石油化工装备无损检测与安全评估</w:t>
            </w:r>
            <w:r>
              <w:rPr>
                <w:rFonts w:hint="eastAsia" w:ascii="宋体" w:hAnsi="宋体" w:eastAsia="宋体" w:cs="宋体"/>
                <w:kern w:val="0"/>
                <w:szCs w:val="21"/>
              </w:rPr>
              <w:t>研究生联合培养基地</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中国石油大学（华东）</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4"/>
              </w:rPr>
            </w:pPr>
            <w:r>
              <w:rPr>
                <w:rFonts w:hint="eastAsia" w:ascii="宋体" w:hAnsi="宋体" w:eastAsia="宋体" w:cs="宋体"/>
                <w:kern w:val="0"/>
                <w:szCs w:val="21"/>
              </w:rPr>
              <w:t>中国石油化工股份有限公司胜利油田分公司技术检测中心</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控制工程</w:t>
            </w:r>
          </w:p>
        </w:tc>
      </w:tr>
    </w:tbl>
    <w:p>
      <w:pPr>
        <w:widowControl/>
        <w:spacing w:line="390" w:lineRule="atLeast"/>
        <w:jc w:val="center"/>
        <w:rPr>
          <w:rFonts w:ascii="宋体" w:hAnsi="宋体" w:eastAsia="宋体" w:cs="宋体"/>
          <w:kern w:val="0"/>
          <w:szCs w:val="21"/>
        </w:rPr>
      </w:pPr>
      <w:r>
        <w:rPr>
          <w:rFonts w:hint="eastAsia" w:ascii="宋体" w:hAnsi="宋体" w:eastAsia="宋体" w:cs="宋体"/>
          <w:b/>
          <w:bCs/>
          <w:kern w:val="0"/>
          <w:sz w:val="32"/>
          <w:szCs w:val="32"/>
        </w:rPr>
        <w:t>“2016年山东省专业学位研究生教学案例库建设项目”</w:t>
      </w:r>
    </w:p>
    <w:tbl>
      <w:tblPr>
        <w:tblStyle w:val="7"/>
        <w:tblW w:w="8495" w:type="dxa"/>
        <w:jc w:val="center"/>
        <w:tblInd w:w="93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156"/>
        <w:gridCol w:w="836"/>
        <w:gridCol w:w="1340"/>
        <w:gridCol w:w="1340"/>
        <w:gridCol w:w="10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794"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Cs w:val="21"/>
              </w:rPr>
            </w:pPr>
            <w:r>
              <w:rPr>
                <w:rFonts w:hint="eastAsia" w:ascii="汉仪书宋一简" w:hAnsi="宋体" w:eastAsia="汉仪书宋一简" w:cs="宋体"/>
                <w:b/>
                <w:kern w:val="0"/>
                <w:szCs w:val="21"/>
              </w:rPr>
              <w:t>序号</w:t>
            </w:r>
          </w:p>
        </w:tc>
        <w:tc>
          <w:tcPr>
            <w:tcW w:w="315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汉仪书宋一简" w:hAnsi="宋体" w:eastAsia="汉仪书宋一简" w:cs="宋体"/>
                <w:b/>
                <w:kern w:val="0"/>
                <w:szCs w:val="21"/>
              </w:rPr>
              <w:t>项目名称</w:t>
            </w:r>
          </w:p>
        </w:tc>
        <w:tc>
          <w:tcPr>
            <w:tcW w:w="8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汉仪书宋一简" w:hAnsi="宋体" w:eastAsia="汉仪书宋一简" w:cs="宋体"/>
                <w:b/>
                <w:kern w:val="0"/>
                <w:szCs w:val="21"/>
              </w:rPr>
              <w:t>学位类别</w:t>
            </w:r>
          </w:p>
        </w:tc>
        <w:tc>
          <w:tcPr>
            <w:tcW w:w="134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汉仪书宋一简" w:hAnsi="宋体" w:eastAsia="汉仪书宋一简" w:cs="宋体"/>
                <w:b/>
                <w:kern w:val="0"/>
                <w:szCs w:val="21"/>
              </w:rPr>
              <w:t>专业领域</w:t>
            </w:r>
          </w:p>
        </w:tc>
        <w:tc>
          <w:tcPr>
            <w:tcW w:w="1340"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汉仪书宋一简" w:hAnsi="宋体" w:eastAsia="汉仪书宋一简" w:cs="宋体"/>
                <w:b/>
                <w:kern w:val="0"/>
                <w:szCs w:val="21"/>
              </w:rPr>
              <w:t>负责人</w:t>
            </w:r>
          </w:p>
        </w:tc>
        <w:tc>
          <w:tcPr>
            <w:tcW w:w="102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汉仪书宋一简" w:hAnsi="宋体" w:eastAsia="汉仪书宋一简" w:cs="宋体"/>
                <w:b/>
                <w:kern w:val="0"/>
                <w:szCs w:val="21"/>
              </w:rPr>
            </w:pPr>
            <w:r>
              <w:rPr>
                <w:rFonts w:hint="eastAsia" w:ascii="汉仪书宋一简" w:hAnsi="宋体" w:eastAsia="汉仪书宋一简" w:cs="宋体"/>
                <w:b/>
                <w:kern w:val="0"/>
                <w:szCs w:val="21"/>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1</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地质工程专业油气勘探与开发地质教学案例库建设</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地质工程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张立强</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2</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《采油采气工程设计与应用》课程开放型教学案例库建设及交互式应用系统开发</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石油与天然气工程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董长银</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3</w:t>
            </w:r>
          </w:p>
        </w:tc>
        <w:tc>
          <w:tcPr>
            <w:tcW w:w="3156"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《高等工程传热学》案例教学库建设</w:t>
            </w:r>
          </w:p>
        </w:tc>
        <w:tc>
          <w:tcPr>
            <w:tcW w:w="836"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动力工程</w:t>
            </w:r>
          </w:p>
        </w:tc>
        <w:tc>
          <w:tcPr>
            <w:tcW w:w="134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林日亿</w:t>
            </w:r>
          </w:p>
        </w:tc>
        <w:tc>
          <w:tcPr>
            <w:tcW w:w="102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4</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《油气田开发设计与应用》教学案例库建设</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石油与天然气工程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谷建伟</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5</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化学工程专业硕士实践教学案例建设</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化学工程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孙昱东</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6</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全日制专业学位研究生实践类核心课程《油田化学工程与应用》案例库建设</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石油与天然气工程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王业飞</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7</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基于专业胜任能力产出的会计硕士《管理会计理论与实务》课程案例库开发</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专业硕士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会计硕士</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刘福东</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副教授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90" w:lineRule="atLeast"/>
              <w:jc w:val="center"/>
              <w:rPr>
                <w:rFonts w:ascii="宋体" w:hAnsi="宋体" w:eastAsia="宋体" w:cs="宋体"/>
                <w:kern w:val="0"/>
                <w:sz w:val="24"/>
                <w:szCs w:val="24"/>
              </w:rPr>
            </w:pPr>
            <w:r>
              <w:rPr>
                <w:rFonts w:hint="eastAsia" w:ascii="宋体" w:hAnsi="宋体" w:eastAsia="宋体" w:cs="宋体"/>
                <w:kern w:val="0"/>
                <w:szCs w:val="21"/>
              </w:rPr>
              <w:t>8</w:t>
            </w:r>
          </w:p>
        </w:tc>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left"/>
              <w:rPr>
                <w:rFonts w:ascii="宋体" w:hAnsi="宋体" w:eastAsia="宋体" w:cs="宋体"/>
                <w:kern w:val="0"/>
                <w:sz w:val="24"/>
                <w:szCs w:val="24"/>
              </w:rPr>
            </w:pPr>
            <w:r>
              <w:rPr>
                <w:rFonts w:hint="eastAsia" w:ascii="宋体" w:hAnsi="宋体" w:eastAsia="宋体" w:cs="宋体"/>
                <w:color w:val="000000"/>
                <w:kern w:val="0"/>
                <w:szCs w:val="21"/>
              </w:rPr>
              <w:t>岩心观察与描述分析案例库的建设</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工程硕士</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地质工程</w:t>
            </w:r>
          </w:p>
        </w:tc>
        <w:tc>
          <w:tcPr>
            <w:tcW w:w="13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color w:val="000000"/>
                <w:kern w:val="0"/>
                <w:szCs w:val="21"/>
              </w:rPr>
              <w:t>邱隆伟</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0" w:lineRule="atLeast"/>
              <w:jc w:val="center"/>
              <w:rPr>
                <w:rFonts w:ascii="宋体" w:hAnsi="宋体" w:eastAsia="宋体" w:cs="宋体"/>
                <w:kern w:val="0"/>
                <w:sz w:val="24"/>
                <w:szCs w:val="24"/>
              </w:rPr>
            </w:pPr>
            <w:r>
              <w:rPr>
                <w:rFonts w:hint="eastAsia" w:ascii="宋体" w:hAnsi="宋体" w:eastAsia="宋体" w:cs="宋体"/>
                <w:bCs/>
                <w:color w:val="000000"/>
                <w:kern w:val="0"/>
                <w:szCs w:val="21"/>
              </w:rPr>
              <w:t>教授</w:t>
            </w:r>
          </w:p>
        </w:tc>
      </w:tr>
    </w:tbl>
    <w:p>
      <w:pPr>
        <w:widowControl/>
        <w:spacing w:line="390" w:lineRule="atLeast"/>
        <w:rPr>
          <w:sz w:val="13"/>
          <w:szCs w:val="13"/>
        </w:rPr>
      </w:pPr>
    </w:p>
    <w:p>
      <w:pPr>
        <w:widowControl/>
        <w:spacing w:line="390" w:lineRule="atLeast"/>
        <w:jc w:val="center"/>
        <w:rPr>
          <w:rFonts w:hint="eastAsia" w:ascii="宋体" w:hAnsi="宋体" w:eastAsia="宋体" w:cs="宋体"/>
          <w:b/>
          <w:bCs/>
          <w:kern w:val="0"/>
          <w:sz w:val="36"/>
          <w:lang w:eastAsia="zh-CN"/>
        </w:rPr>
      </w:pPr>
      <w:r>
        <w:rPr>
          <w:rFonts w:hint="eastAsia" w:ascii="宋体" w:hAnsi="宋体" w:eastAsia="宋体" w:cs="宋体"/>
          <w:b/>
          <w:bCs/>
          <w:kern w:val="0"/>
          <w:sz w:val="36"/>
          <w:lang w:eastAsia="zh-CN"/>
        </w:rPr>
        <w:t>“</w:t>
      </w:r>
      <w:r>
        <w:rPr>
          <w:rFonts w:hint="eastAsia" w:ascii="宋体" w:hAnsi="宋体" w:eastAsia="宋体" w:cs="宋体"/>
          <w:b/>
          <w:bCs/>
          <w:kern w:val="0"/>
          <w:sz w:val="36"/>
        </w:rPr>
        <w:t>2016年山东省研究生教育创新计划项目</w:t>
      </w:r>
      <w:r>
        <w:rPr>
          <w:rFonts w:hint="eastAsia" w:ascii="宋体" w:hAnsi="宋体" w:eastAsia="宋体" w:cs="宋体"/>
          <w:b/>
          <w:bCs/>
          <w:kern w:val="0"/>
          <w:sz w:val="36"/>
          <w:lang w:eastAsia="zh-CN"/>
        </w:rPr>
        <w:t>”</w:t>
      </w:r>
    </w:p>
    <w:tbl>
      <w:tblPr>
        <w:tblStyle w:val="7"/>
        <w:tblW w:w="8599" w:type="dxa"/>
        <w:jc w:val="center"/>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651"/>
        <w:gridCol w:w="98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544" w:type="dxa"/>
            <w:shd w:val="clear" w:color="auto" w:fill="auto"/>
            <w:vAlign w:val="center"/>
          </w:tcPr>
          <w:p>
            <w:pPr>
              <w:jc w:val="center"/>
              <w:rPr>
                <w:rFonts w:hint="eastAsia"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序</w:t>
            </w:r>
            <w:r>
              <w:rPr>
                <w:rFonts w:hint="eastAsia" w:ascii="汉仪书宋一简" w:hAnsi="宋体" w:eastAsia="汉仪书宋一简" w:cs="宋体"/>
                <w:color w:val="000000"/>
                <w:kern w:val="0"/>
                <w:szCs w:val="21"/>
                <w:lang w:eastAsia="zh-CN"/>
              </w:rPr>
              <w:t>号</w:t>
            </w:r>
          </w:p>
        </w:tc>
        <w:tc>
          <w:tcPr>
            <w:tcW w:w="5651" w:type="dxa"/>
            <w:shd w:val="clear" w:color="auto" w:fill="auto"/>
            <w:vAlign w:val="center"/>
          </w:tcPr>
          <w:p>
            <w:pPr>
              <w:ind w:firstLine="411" w:firstLineChars="196"/>
              <w:jc w:val="center"/>
              <w:rPr>
                <w:rFonts w:hint="eastAsia"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项目名称</w:t>
            </w:r>
          </w:p>
        </w:tc>
        <w:tc>
          <w:tcPr>
            <w:tcW w:w="983" w:type="dxa"/>
            <w:shd w:val="clear" w:color="auto" w:fill="auto"/>
            <w:vAlign w:val="center"/>
          </w:tcPr>
          <w:p>
            <w:pPr>
              <w:jc w:val="center"/>
              <w:rPr>
                <w:rFonts w:hint="eastAsia"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项目</w:t>
            </w:r>
          </w:p>
          <w:p>
            <w:pPr>
              <w:jc w:val="center"/>
              <w:rPr>
                <w:rFonts w:hint="eastAsia"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负责人</w:t>
            </w:r>
          </w:p>
        </w:tc>
        <w:tc>
          <w:tcPr>
            <w:tcW w:w="1421"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负责人</w:t>
            </w:r>
          </w:p>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职称</w:t>
            </w:r>
          </w:p>
          <w:p>
            <w:pPr>
              <w:jc w:val="center"/>
              <w:rPr>
                <w:rFonts w:hint="eastAsia"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w:t>
            </w:r>
          </w:p>
        </w:tc>
        <w:tc>
          <w:tcPr>
            <w:tcW w:w="5651" w:type="dxa"/>
            <w:shd w:val="clear" w:color="auto" w:fill="auto"/>
            <w:vAlign w:val="center"/>
          </w:tcPr>
          <w:p>
            <w:pPr>
              <w:rPr>
                <w:rFonts w:ascii="宋体" w:hAnsi="宋体" w:cs="宋体"/>
                <w:color w:val="000000"/>
                <w:sz w:val="18"/>
                <w:szCs w:val="18"/>
              </w:rPr>
            </w:pPr>
            <w:r>
              <w:rPr>
                <w:rFonts w:hint="eastAsia" w:ascii="宋体" w:hAnsi="宋体"/>
                <w:sz w:val="18"/>
                <w:szCs w:val="18"/>
              </w:rPr>
              <w:t>工程硕士专业学位研究生教育质量评价标准和体系研究</w:t>
            </w:r>
          </w:p>
        </w:tc>
        <w:tc>
          <w:tcPr>
            <w:tcW w:w="983" w:type="dxa"/>
            <w:shd w:val="clear" w:color="auto" w:fill="auto"/>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林承焰</w:t>
            </w:r>
          </w:p>
        </w:tc>
        <w:tc>
          <w:tcPr>
            <w:tcW w:w="1421" w:type="dxa"/>
            <w:shd w:val="clear" w:color="auto" w:fill="auto"/>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常务副院长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w:t>
            </w:r>
          </w:p>
        </w:tc>
        <w:tc>
          <w:tcPr>
            <w:tcW w:w="5651" w:type="dxa"/>
            <w:shd w:val="clear" w:color="auto" w:fill="auto"/>
            <w:vAlign w:val="center"/>
          </w:tcPr>
          <w:p>
            <w:pPr>
              <w:rPr>
                <w:rFonts w:ascii="宋体" w:hAnsi="宋体" w:cs="宋体"/>
                <w:color w:val="000000"/>
                <w:sz w:val="18"/>
                <w:szCs w:val="18"/>
              </w:rPr>
            </w:pPr>
            <w:r>
              <w:rPr>
                <w:rFonts w:hint="eastAsia" w:ascii="宋体" w:hAnsi="宋体"/>
                <w:sz w:val="18"/>
                <w:szCs w:val="18"/>
              </w:rPr>
              <w:t>数据挖掘分析模型在研究生招生工作中的探索与实践</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王备战</w:t>
            </w:r>
          </w:p>
        </w:tc>
        <w:tc>
          <w:tcPr>
            <w:tcW w:w="1421" w:type="dxa"/>
            <w:shd w:val="clear" w:color="auto" w:fill="auto"/>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招办主任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3</w:t>
            </w:r>
          </w:p>
        </w:tc>
        <w:tc>
          <w:tcPr>
            <w:tcW w:w="5651" w:type="dxa"/>
            <w:shd w:val="clear" w:color="auto" w:fill="auto"/>
            <w:vAlign w:val="center"/>
          </w:tcPr>
          <w:p>
            <w:pPr>
              <w:rPr>
                <w:rFonts w:ascii="宋体" w:hAnsi="宋体"/>
                <w:sz w:val="18"/>
                <w:szCs w:val="18"/>
              </w:rPr>
            </w:pPr>
            <w:r>
              <w:rPr>
                <w:rFonts w:hint="eastAsia" w:ascii="宋体" w:hAnsi="宋体"/>
                <w:sz w:val="18"/>
                <w:szCs w:val="18"/>
              </w:rPr>
              <w:t>大数据视阈下常态化学位点自我评估体系研究</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梁  琳</w:t>
            </w:r>
          </w:p>
        </w:tc>
        <w:tc>
          <w:tcPr>
            <w:tcW w:w="1421" w:type="dxa"/>
            <w:shd w:val="clear" w:color="auto" w:fill="auto"/>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学位办副主任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4</w:t>
            </w:r>
          </w:p>
        </w:tc>
        <w:tc>
          <w:tcPr>
            <w:tcW w:w="5651" w:type="dxa"/>
            <w:shd w:val="clear" w:color="auto" w:fill="auto"/>
            <w:vAlign w:val="center"/>
          </w:tcPr>
          <w:p>
            <w:pPr>
              <w:rPr>
                <w:rFonts w:ascii="宋体" w:hAnsi="宋体"/>
                <w:sz w:val="18"/>
                <w:szCs w:val="18"/>
              </w:rPr>
            </w:pPr>
            <w:r>
              <w:rPr>
                <w:rFonts w:hint="eastAsia" w:ascii="宋体" w:hAnsi="宋体"/>
                <w:sz w:val="18"/>
                <w:szCs w:val="18"/>
              </w:rPr>
              <w:t>基于研究生学术贡献度分析视角的在校研究生创新激励机制研究探索</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毕  静</w:t>
            </w:r>
          </w:p>
        </w:tc>
        <w:tc>
          <w:tcPr>
            <w:tcW w:w="1421" w:type="dxa"/>
            <w:shd w:val="clear" w:color="auto" w:fill="auto"/>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研工部副主任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5</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基于“双一流”建设的油气地学领域研究生培养体系与质量保障体系的改革与创新</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吴智平</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6</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基于开源的专业学位研究生工程实践与创新能力培养的探索</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段友祥</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7</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供给侧改革视野下的“少民骨干”研究生培养机制研究</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杨朝合</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8</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石油特色型俄语翻译硕士（MTI）培养模式的探索与实践</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孙大满</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9</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“双一流”背景下山东省文科研究生培养国际合作模式创新研究——基于我校教师与美国、新加坡高校非官方合作的探索</w:t>
            </w:r>
          </w:p>
        </w:tc>
        <w:tc>
          <w:tcPr>
            <w:tcW w:w="983"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李  辉</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石油与天然气工程领域专业核心课程开放在线教学模式探索与实践</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谷建伟</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基于专业学位研究生技术创新能力培养的校企衔接实践平台建设研究-以材料工程为例</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郝兰众</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“中国特色社会主义理论与实践研究”混合式教学模式改革</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宋海儆</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544" w:type="dxa"/>
            <w:shd w:val="clear" w:color="auto" w:fill="auto"/>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5651"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跨学科复合型人才本硕联合培养机制研究</w:t>
            </w:r>
          </w:p>
        </w:tc>
        <w:tc>
          <w:tcPr>
            <w:tcW w:w="983"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孙燕芳</w:t>
            </w:r>
          </w:p>
        </w:tc>
        <w:tc>
          <w:tcPr>
            <w:tcW w:w="1421" w:type="dxa"/>
            <w:shd w:val="clear" w:color="auto" w:fill="auto"/>
            <w:vAlign w:val="center"/>
          </w:tcPr>
          <w:p>
            <w:pPr>
              <w:jc w:val="center"/>
              <w:rPr>
                <w:rFonts w:ascii="宋体" w:hAnsi="宋体" w:cs="宋体"/>
                <w:color w:val="000000"/>
                <w:sz w:val="18"/>
                <w:szCs w:val="18"/>
              </w:rPr>
            </w:pPr>
            <w:r>
              <w:rPr>
                <w:rFonts w:hint="eastAsia" w:ascii="宋体" w:hAnsi="宋体"/>
                <w:color w:val="000000"/>
                <w:sz w:val="18"/>
                <w:szCs w:val="18"/>
              </w:rPr>
              <w:t>副教授</w:t>
            </w:r>
          </w:p>
        </w:tc>
      </w:tr>
    </w:tbl>
    <w:p>
      <w:pPr>
        <w:widowControl/>
        <w:spacing w:line="390" w:lineRule="atLeast"/>
        <w:jc w:val="center"/>
        <w:rPr>
          <w:rFonts w:hint="eastAsia" w:ascii="宋体" w:hAnsi="宋体" w:eastAsia="宋体" w:cs="宋体"/>
          <w:b/>
          <w:bCs/>
          <w:kern w:val="0"/>
          <w:sz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宋三_GBK">
    <w:altName w:val="微软雅黑"/>
    <w:panose1 w:val="00000000000000000000"/>
    <w:charset w:val="86"/>
    <w:family w:val="script"/>
    <w:pitch w:val="default"/>
    <w:sig w:usb0="00000000" w:usb1="00000000" w:usb2="00000010" w:usb3="00000000" w:csb0="00040000" w:csb1="00000000"/>
  </w:font>
  <w:font w:name="汉仪书宋一简">
    <w:altName w:val="宋体"/>
    <w:panose1 w:val="00000000000000000000"/>
    <w:charset w:val="86"/>
    <w:family w:val="modern"/>
    <w:pitch w:val="default"/>
    <w:sig w:usb0="00000000" w:usb1="00000000" w:usb2="00000012"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6C6C"/>
    <w:rsid w:val="001E6C6C"/>
    <w:rsid w:val="003D524B"/>
    <w:rsid w:val="004B41B1"/>
    <w:rsid w:val="00595837"/>
    <w:rsid w:val="006468B2"/>
    <w:rsid w:val="008D20A4"/>
    <w:rsid w:val="00980DDC"/>
    <w:rsid w:val="00AC19D1"/>
    <w:rsid w:val="00AD2BF5"/>
    <w:rsid w:val="00BC0735"/>
    <w:rsid w:val="00D21ECE"/>
    <w:rsid w:val="00D26EFC"/>
    <w:rsid w:val="00D76806"/>
    <w:rsid w:val="00DD1A65"/>
    <w:rsid w:val="00FC6BC1"/>
    <w:rsid w:val="518C59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line="390" w:lineRule="atLeast"/>
      <w:jc w:val="left"/>
    </w:pPr>
    <w:rPr>
      <w:rFonts w:ascii="宋体" w:hAnsi="宋体" w:eastAsia="宋体" w:cs="宋体"/>
      <w:kern w:val="0"/>
      <w:szCs w:val="21"/>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Pages>
  <Words>208</Words>
  <Characters>1192</Characters>
  <Lines>9</Lines>
  <Paragraphs>2</Paragraphs>
  <TotalTime>0</TotalTime>
  <ScaleCrop>false</ScaleCrop>
  <LinksUpToDate>false</LinksUpToDate>
  <CharactersWithSpaces>1398</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2016-10-08T10:57:00Z</dcterms:created>
  <dc:creator>WH</dc:creator>
  <cp:lastModifiedBy>WH</cp:lastModifiedBy>
  <dcterms:modified xsi:type="dcterms:W3CDTF">2017-06-26T09:48:20Z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